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2DA320F"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NR Adhoc #2</w:t>
      </w:r>
      <w:r w:rsidRPr="00B266B0">
        <w:rPr>
          <w:bCs/>
          <w:noProof w:val="0"/>
          <w:sz w:val="24"/>
          <w:szCs w:val="24"/>
        </w:rPr>
        <w:tab/>
      </w:r>
      <w:r w:rsidR="00177C7E" w:rsidRPr="00177C7E">
        <w:rPr>
          <w:bCs/>
          <w:noProof w:val="0"/>
          <w:sz w:val="24"/>
          <w:szCs w:val="24"/>
        </w:rPr>
        <w:t>R2-1706591</w:t>
      </w:r>
    </w:p>
    <w:p w14:paraId="231362B2" w14:textId="2EEADD5A" w:rsidR="00CD4C7B" w:rsidRPr="00B266B0" w:rsidRDefault="004006E8" w:rsidP="00CD4C7B">
      <w:pPr>
        <w:pStyle w:val="Header"/>
        <w:tabs>
          <w:tab w:val="right" w:pos="9639"/>
        </w:tabs>
        <w:rPr>
          <w:bCs/>
          <w:noProof w:val="0"/>
          <w:sz w:val="24"/>
          <w:szCs w:val="24"/>
        </w:rPr>
      </w:pPr>
      <w:r>
        <w:rPr>
          <w:rFonts w:eastAsia="宋体"/>
          <w:noProof w:val="0"/>
          <w:sz w:val="24"/>
          <w:szCs w:val="24"/>
          <w:lang w:eastAsia="zh-CN"/>
        </w:rPr>
        <w:t>Qingdao</w:t>
      </w:r>
      <w:r w:rsidR="00C24650" w:rsidRPr="00C24650">
        <w:rPr>
          <w:rFonts w:eastAsia="宋体"/>
          <w:noProof w:val="0"/>
          <w:sz w:val="24"/>
          <w:szCs w:val="24"/>
          <w:lang w:eastAsia="zh-CN"/>
        </w:rPr>
        <w:t xml:space="preserve">, </w:t>
      </w:r>
      <w:r w:rsidR="00C9068C">
        <w:rPr>
          <w:rFonts w:eastAsia="宋体"/>
          <w:noProof w:val="0"/>
          <w:sz w:val="24"/>
          <w:szCs w:val="24"/>
          <w:lang w:eastAsia="zh-CN"/>
        </w:rPr>
        <w:t>China</w:t>
      </w:r>
      <w:r w:rsidR="00C24650" w:rsidRPr="00C24650">
        <w:rPr>
          <w:rFonts w:eastAsia="宋体"/>
          <w:noProof w:val="0"/>
          <w:sz w:val="24"/>
          <w:szCs w:val="24"/>
          <w:lang w:eastAsia="zh-CN"/>
        </w:rPr>
        <w:t xml:space="preserve">, </w:t>
      </w:r>
      <w:r w:rsidR="00112F1A">
        <w:rPr>
          <w:rFonts w:eastAsia="宋体"/>
          <w:noProof w:val="0"/>
          <w:sz w:val="24"/>
          <w:szCs w:val="24"/>
          <w:lang w:eastAsia="zh-CN"/>
        </w:rPr>
        <w:t>27</w:t>
      </w:r>
      <w:r w:rsidR="00C92967">
        <w:rPr>
          <w:rFonts w:eastAsia="宋体"/>
          <w:noProof w:val="0"/>
          <w:sz w:val="24"/>
          <w:szCs w:val="24"/>
          <w:lang w:eastAsia="zh-CN"/>
        </w:rPr>
        <w:t xml:space="preserve"> - </w:t>
      </w:r>
      <w:r w:rsidR="00112F1A">
        <w:rPr>
          <w:rFonts w:eastAsia="宋体"/>
          <w:noProof w:val="0"/>
          <w:sz w:val="24"/>
          <w:szCs w:val="24"/>
          <w:lang w:eastAsia="zh-CN"/>
        </w:rPr>
        <w:t>29</w:t>
      </w:r>
      <w:r w:rsidR="00C92967">
        <w:rPr>
          <w:rFonts w:eastAsia="宋体"/>
          <w:noProof w:val="0"/>
          <w:sz w:val="24"/>
          <w:szCs w:val="24"/>
          <w:lang w:eastAsia="zh-CN"/>
        </w:rPr>
        <w:t xml:space="preserve"> </w:t>
      </w:r>
      <w:r w:rsidR="00112F1A">
        <w:rPr>
          <w:rFonts w:eastAsia="宋体"/>
          <w:noProof w:val="0"/>
          <w:sz w:val="24"/>
          <w:szCs w:val="24"/>
          <w:lang w:eastAsia="zh-CN"/>
        </w:rPr>
        <w:t>June</w:t>
      </w:r>
      <w:r w:rsidR="00813245">
        <w:rPr>
          <w:rFonts w:eastAsia="宋体"/>
          <w:noProof w:val="0"/>
          <w:sz w:val="24"/>
          <w:szCs w:val="24"/>
          <w:lang w:eastAsia="zh-CN"/>
        </w:rPr>
        <w:t xml:space="preserve"> </w:t>
      </w:r>
      <w:r w:rsidR="00C24650" w:rsidRPr="00C24650">
        <w:rPr>
          <w:rFonts w:eastAsia="宋体"/>
          <w:noProof w:val="0"/>
          <w:sz w:val="24"/>
          <w:szCs w:val="24"/>
          <w:lang w:eastAsia="zh-CN"/>
        </w:rPr>
        <w:t>201</w:t>
      </w:r>
      <w:r w:rsidR="00936071">
        <w:rPr>
          <w:rFonts w:eastAsia="宋体"/>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F05989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A221D" w:rsidRPr="004A221D">
        <w:rPr>
          <w:rFonts w:cs="Arial"/>
          <w:b/>
          <w:bCs/>
          <w:sz w:val="24"/>
          <w:lang w:eastAsia="ja-JP"/>
        </w:rPr>
        <w:t>10.3.1.11</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082346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A71FB" w:rsidRPr="001A71FB">
        <w:rPr>
          <w:rFonts w:ascii="Arial" w:hAnsi="Arial" w:cs="Arial"/>
          <w:b/>
          <w:bCs/>
          <w:sz w:val="24"/>
        </w:rPr>
        <w:t xml:space="preserve">Further details </w:t>
      </w:r>
      <w:r w:rsidR="007A4840">
        <w:rPr>
          <w:rFonts w:ascii="Arial" w:hAnsi="Arial" w:cs="Arial"/>
          <w:b/>
          <w:bCs/>
          <w:sz w:val="24"/>
        </w:rPr>
        <w:t xml:space="preserve">on </w:t>
      </w:r>
      <w:r w:rsidR="001A71FB" w:rsidRPr="001A71FB">
        <w:rPr>
          <w:rFonts w:ascii="Arial" w:hAnsi="Arial" w:cs="Arial"/>
          <w:b/>
          <w:bCs/>
          <w:sz w:val="24"/>
        </w:rPr>
        <w:t>duplication with CA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0DE3DF69" w:rsidR="00CD4C7B" w:rsidRDefault="00DC0EA1" w:rsidP="00CD4C7B">
      <w:r>
        <w:t>The following has been agreed in the RAN2 #98 meeting for duplication</w:t>
      </w:r>
      <w:r w:rsidR="005367E4">
        <w:t xml:space="preserve"> [1]</w:t>
      </w:r>
      <w:r>
        <w:t>:</w:t>
      </w:r>
    </w:p>
    <w:p w14:paraId="122FC3EB" w14:textId="77777777" w:rsidR="00DC0EA1" w:rsidRDefault="00DC0EA1" w:rsidP="00DC0EA1">
      <w:pPr>
        <w:pStyle w:val="Doc-text2"/>
        <w:pBdr>
          <w:top w:val="single" w:sz="4" w:space="1" w:color="auto"/>
          <w:left w:val="single" w:sz="4" w:space="4" w:color="auto"/>
          <w:bottom w:val="single" w:sz="4" w:space="1" w:color="auto"/>
          <w:right w:val="single" w:sz="4" w:space="4" w:color="auto"/>
        </w:pBdr>
      </w:pPr>
      <w:r>
        <w:t>Agreements for duplication in CA case</w:t>
      </w:r>
    </w:p>
    <w:p w14:paraId="4D7BC7B1" w14:textId="77777777" w:rsidR="00DC0EA1" w:rsidRDefault="00DC0EA1" w:rsidP="00DC0EA1">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14:paraId="20A8A96B" w14:textId="77777777" w:rsidR="00DC0EA1" w:rsidRDefault="00DC0EA1" w:rsidP="00DC0EA1">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14:paraId="017838BB" w14:textId="77777777" w:rsidR="00DC0EA1" w:rsidRDefault="00DC0EA1" w:rsidP="00DC0EA1">
      <w:pPr>
        <w:pStyle w:val="Doc-text2"/>
        <w:pBdr>
          <w:top w:val="single" w:sz="4" w:space="1" w:color="auto"/>
          <w:left w:val="single" w:sz="4" w:space="4" w:color="auto"/>
          <w:bottom w:val="single" w:sz="4" w:space="1" w:color="auto"/>
          <w:right w:val="single" w:sz="4" w:space="4" w:color="auto"/>
        </w:pBdr>
      </w:pPr>
      <w:r>
        <w:t>3</w:t>
      </w:r>
      <w:r>
        <w:tab/>
        <w:t>Duplicated PDCP PDUs are submitted to two different RLC entities</w:t>
      </w:r>
    </w:p>
    <w:p w14:paraId="7C24FCA7" w14:textId="77777777" w:rsidR="00DC0EA1" w:rsidRDefault="00DC0EA1" w:rsidP="00DC0EA1">
      <w:pPr>
        <w:pStyle w:val="Doc-text2"/>
      </w:pPr>
    </w:p>
    <w:p w14:paraId="39C72021" w14:textId="77777777" w:rsidR="00DC0EA1" w:rsidRPr="00DC0EA1" w:rsidRDefault="00DC0EA1" w:rsidP="00DC0EA1">
      <w:pPr>
        <w:pStyle w:val="Doc-text2"/>
        <w:pBdr>
          <w:top w:val="single" w:sz="4" w:space="1" w:color="auto"/>
          <w:left w:val="single" w:sz="4" w:space="4" w:color="auto"/>
          <w:bottom w:val="single" w:sz="4" w:space="1" w:color="auto"/>
          <w:right w:val="single" w:sz="4" w:space="4" w:color="auto"/>
        </w:pBdr>
      </w:pPr>
      <w:r w:rsidRPr="00DC0EA1">
        <w:t>Agreement</w:t>
      </w:r>
    </w:p>
    <w:p w14:paraId="27285C9E" w14:textId="77777777" w:rsidR="00DC0EA1" w:rsidRPr="00DC0EA1" w:rsidRDefault="00DC0EA1" w:rsidP="00DC0EA1">
      <w:pPr>
        <w:pStyle w:val="Doc-text2"/>
        <w:pBdr>
          <w:top w:val="single" w:sz="4" w:space="1" w:color="auto"/>
          <w:left w:val="single" w:sz="4" w:space="4" w:color="auto"/>
          <w:bottom w:val="single" w:sz="4" w:space="1" w:color="auto"/>
          <w:right w:val="single" w:sz="4" w:space="4" w:color="auto"/>
        </w:pBdr>
      </w:pPr>
      <w:r w:rsidRPr="00DC0EA1">
        <w:t>=&gt;</w:t>
      </w:r>
      <w:r w:rsidRPr="00DC0EA1">
        <w:tab/>
        <w:t>MAC CE approach will be used for control of UL duplication. Optimisations to reliability of the MAC CE will not be introduced for this mechanism. No optimisations or additional interactions between network nodes are introduced for this mechanism.</w:t>
      </w:r>
    </w:p>
    <w:p w14:paraId="4880575E" w14:textId="77777777" w:rsidR="00DC0EA1" w:rsidRDefault="00DC0EA1" w:rsidP="00CD4C7B"/>
    <w:p w14:paraId="0001E558" w14:textId="0E8EB9FD" w:rsidR="00DC0EA1" w:rsidRDefault="00DC0EA1" w:rsidP="00CD4C7B">
      <w:r>
        <w:t xml:space="preserve">And for </w:t>
      </w:r>
      <w:r w:rsidR="00CF6070">
        <w:t>CA, both explicit and implicit deactivation were agreed</w:t>
      </w:r>
      <w:r>
        <w:t>:</w:t>
      </w:r>
    </w:p>
    <w:p w14:paraId="63C806CE" w14:textId="77777777" w:rsidR="00DC0EA1" w:rsidRPr="00DC0EA1" w:rsidRDefault="00DC0EA1" w:rsidP="00DC0EA1">
      <w:pPr>
        <w:pStyle w:val="Doc-text2"/>
        <w:pBdr>
          <w:top w:val="single" w:sz="4" w:space="1" w:color="auto"/>
          <w:left w:val="single" w:sz="4" w:space="4" w:color="auto"/>
          <w:bottom w:val="single" w:sz="4" w:space="1" w:color="auto"/>
          <w:right w:val="single" w:sz="4" w:space="4" w:color="auto"/>
        </w:pBdr>
      </w:pPr>
      <w:r w:rsidRPr="00DC0EA1">
        <w:t>Agreements</w:t>
      </w:r>
    </w:p>
    <w:p w14:paraId="0BBA02A1" w14:textId="77777777" w:rsidR="00DC0EA1" w:rsidRPr="00DC0EA1" w:rsidRDefault="00DC0EA1" w:rsidP="00DC0EA1">
      <w:pPr>
        <w:pStyle w:val="Doc-text2"/>
        <w:numPr>
          <w:ilvl w:val="0"/>
          <w:numId w:val="5"/>
        </w:numPr>
        <w:pBdr>
          <w:top w:val="single" w:sz="4" w:space="1" w:color="auto"/>
          <w:left w:val="single" w:sz="4" w:space="4" w:color="auto"/>
          <w:bottom w:val="single" w:sz="4" w:space="1" w:color="auto"/>
          <w:right w:val="single" w:sz="4" w:space="4" w:color="auto"/>
        </w:pBdr>
      </w:pPr>
      <w:r w:rsidRPr="00DC0EA1">
        <w:t>Activation/deactivation is supported for NR CA</w:t>
      </w:r>
    </w:p>
    <w:p w14:paraId="7A038A24" w14:textId="77777777" w:rsidR="00DC0EA1" w:rsidRPr="00DC0EA1" w:rsidRDefault="00DC0EA1" w:rsidP="00DC0EA1">
      <w:pPr>
        <w:pStyle w:val="Doc-text2"/>
        <w:numPr>
          <w:ilvl w:val="0"/>
          <w:numId w:val="5"/>
        </w:numPr>
        <w:pBdr>
          <w:top w:val="single" w:sz="4" w:space="1" w:color="auto"/>
          <w:left w:val="single" w:sz="4" w:space="4" w:color="auto"/>
          <w:bottom w:val="single" w:sz="4" w:space="1" w:color="auto"/>
          <w:right w:val="single" w:sz="4" w:space="4" w:color="auto"/>
        </w:pBdr>
      </w:pPr>
      <w:r w:rsidRPr="00DC0EA1">
        <w:t>As in LTE, Activation/deactivation is controlled per CC by explicit indication and implicit mechanism for NR CA</w:t>
      </w:r>
    </w:p>
    <w:p w14:paraId="74D774FF" w14:textId="77777777" w:rsidR="00DC0EA1" w:rsidRPr="00DC0EA1" w:rsidRDefault="00DC0EA1" w:rsidP="00DC0EA1">
      <w:pPr>
        <w:pStyle w:val="Doc-text2"/>
        <w:numPr>
          <w:ilvl w:val="0"/>
          <w:numId w:val="5"/>
        </w:numPr>
        <w:pBdr>
          <w:top w:val="single" w:sz="4" w:space="1" w:color="auto"/>
          <w:left w:val="single" w:sz="4" w:space="4" w:color="auto"/>
          <w:bottom w:val="single" w:sz="4" w:space="1" w:color="auto"/>
          <w:right w:val="single" w:sz="4" w:space="4" w:color="auto"/>
        </w:pBdr>
      </w:pPr>
      <w:r w:rsidRPr="00DC0EA1">
        <w:t>Configuration of implicit deactivation mechanism is per CC for NR CA</w:t>
      </w:r>
    </w:p>
    <w:p w14:paraId="49C20ABB" w14:textId="3DFBCD5B" w:rsidR="00DC0EA1" w:rsidRPr="006E13D1" w:rsidRDefault="00DC0EA1" w:rsidP="00CD4C7B">
      <w:r>
        <w:t>In this contribution, we discuss the impact of CA activation and deactivation on duplication operation.</w:t>
      </w:r>
    </w:p>
    <w:p w14:paraId="127ACA6D" w14:textId="18236EED" w:rsidR="00CD4C7B" w:rsidRPr="006E13D1" w:rsidRDefault="00CD4C7B" w:rsidP="00CD4C7B">
      <w:pPr>
        <w:pStyle w:val="Heading1"/>
      </w:pPr>
      <w:r w:rsidRPr="006E13D1">
        <w:t>2</w:t>
      </w:r>
      <w:r w:rsidRPr="006E13D1">
        <w:tab/>
      </w:r>
      <w:r w:rsidR="00DC0EA1">
        <w:t>Discussion</w:t>
      </w:r>
    </w:p>
    <w:p w14:paraId="2291D7B5" w14:textId="6B2431FD" w:rsidR="00CB210B" w:rsidRDefault="00CB210B" w:rsidP="00CD4C7B">
      <w:r>
        <w:t>The intention of having the LCH to carrier restriction is to avoid mapping the same data</w:t>
      </w:r>
      <w:r w:rsidR="00B04B27">
        <w:t xml:space="preserve"> (duplicates)</w:t>
      </w:r>
      <w:r w:rsidR="00901F4B">
        <w:t xml:space="preserve"> from two LCHs</w:t>
      </w:r>
      <w:r>
        <w:t xml:space="preserve"> into the same carrier. </w:t>
      </w:r>
      <w:r w:rsidR="00B04B27">
        <w:t>T</w:t>
      </w:r>
      <w:r>
        <w:t>o allow</w:t>
      </w:r>
      <w:r w:rsidR="00B04B27">
        <w:t xml:space="preserve"> the</w:t>
      </w:r>
      <w:r>
        <w:t xml:space="preserve"> same flexibility </w:t>
      </w:r>
      <w:r w:rsidR="00B04B27">
        <w:t>for the data of the</w:t>
      </w:r>
      <w:r w:rsidR="00C86BFF">
        <w:t xml:space="preserve"> </w:t>
      </w:r>
      <w:r w:rsidR="00B04B27">
        <w:t xml:space="preserve">RB </w:t>
      </w:r>
      <w:r>
        <w:t>as when duplication is not used, the restriction of the LCH should not be applied any more</w:t>
      </w:r>
      <w:r w:rsidR="00E76A4A" w:rsidRPr="00E76A4A">
        <w:t xml:space="preserve"> </w:t>
      </w:r>
      <w:r w:rsidR="00B04B27">
        <w:t xml:space="preserve">once </w:t>
      </w:r>
      <w:r w:rsidR="00E76A4A">
        <w:t>duplication is deactivated</w:t>
      </w:r>
      <w:r w:rsidR="00B04B27">
        <w:t xml:space="preserve"> by the NW</w:t>
      </w:r>
      <w:r>
        <w:t xml:space="preserve">. Otherwise the scheduling flexibility </w:t>
      </w:r>
      <w:r w:rsidR="00E76A4A">
        <w:t xml:space="preserve">for the LCH of a duplicated RB </w:t>
      </w:r>
      <w:r>
        <w:t>is even worse than LTE CA</w:t>
      </w:r>
      <w:r w:rsidR="00E76A4A">
        <w:t xml:space="preserve"> even if the duplication is not activated</w:t>
      </w:r>
      <w:r>
        <w:t xml:space="preserve">. </w:t>
      </w:r>
    </w:p>
    <w:p w14:paraId="24CABB61" w14:textId="669EB29D" w:rsidR="00CB210B" w:rsidRDefault="00CB210B" w:rsidP="00CD4C7B">
      <w:r w:rsidRPr="00CB210B">
        <w:rPr>
          <w:b/>
        </w:rPr>
        <w:t>Proposal 1</w:t>
      </w:r>
      <w:r>
        <w:t>: when duplication is deactivated, the</w:t>
      </w:r>
      <w:r w:rsidR="00C86BFF">
        <w:t xml:space="preserve"> mapping</w:t>
      </w:r>
      <w:r>
        <w:t xml:space="preserve"> restriction </w:t>
      </w:r>
      <w:r w:rsidR="00C86BFF">
        <w:t xml:space="preserve">of </w:t>
      </w:r>
      <w:r>
        <w:t>the LCH</w:t>
      </w:r>
      <w:r w:rsidR="00C86BFF">
        <w:t xml:space="preserve"> which remains active</w:t>
      </w:r>
      <w:r>
        <w:t xml:space="preserve"> of a duplicated RB to certain carrier(s) should not</w:t>
      </w:r>
      <w:r w:rsidR="00C86BFF">
        <w:t xml:space="preserve"> be</w:t>
      </w:r>
      <w:r>
        <w:t xml:space="preserve"> applied anymore. </w:t>
      </w:r>
    </w:p>
    <w:p w14:paraId="7A0BB0EE" w14:textId="71372D0A" w:rsidR="005367E4" w:rsidRDefault="005367E4" w:rsidP="00CD4C7B">
      <w:r>
        <w:t xml:space="preserve">Another question is what happens if the carriers of a LCH that </w:t>
      </w:r>
      <w:r w:rsidR="00C86BFF">
        <w:t xml:space="preserve">it </w:t>
      </w:r>
      <w:r w:rsidR="00901F4B">
        <w:t>can be</w:t>
      </w:r>
      <w:r>
        <w:t xml:space="preserve"> mapped to </w:t>
      </w:r>
      <w:r w:rsidR="00C86BFF">
        <w:t xml:space="preserve">get </w:t>
      </w:r>
      <w:r w:rsidR="00E76A4A" w:rsidRPr="00E76A4A">
        <w:t xml:space="preserve">all </w:t>
      </w:r>
      <w:r>
        <w:t>deactivated. It could happen i</w:t>
      </w:r>
      <w:r w:rsidR="00901F4B">
        <w:t>f</w:t>
      </w:r>
      <w:r>
        <w:t xml:space="preserve"> duplication deactivation command is lost or the SCells are implicitly deactivated due to deactivation </w:t>
      </w:r>
      <w:r w:rsidR="0039398D">
        <w:t xml:space="preserve">timer </w:t>
      </w:r>
      <w:r>
        <w:t>expir</w:t>
      </w:r>
      <w:r w:rsidR="0039398D">
        <w:t>y</w:t>
      </w:r>
      <w:r>
        <w:t xml:space="preserve"> without activity for long time. Since the data of the LCH cannot be sent any more, it is straightforward that </w:t>
      </w:r>
      <w:r w:rsidRPr="005367E4">
        <w:t xml:space="preserve">duplication for that radio bearer </w:t>
      </w:r>
      <w:r>
        <w:t xml:space="preserve">should be </w:t>
      </w:r>
      <w:r w:rsidRPr="005367E4">
        <w:t>deactivated</w:t>
      </w:r>
      <w:r>
        <w:t xml:space="preserve"> as well</w:t>
      </w:r>
      <w:r w:rsidR="00E509E2">
        <w:t xml:space="preserve">, </w:t>
      </w:r>
      <w:r w:rsidR="0039398D">
        <w:t xml:space="preserve">similar </w:t>
      </w:r>
      <w:r w:rsidR="00E509E2">
        <w:t xml:space="preserve">to what </w:t>
      </w:r>
      <w:r w:rsidR="0039398D">
        <w:t xml:space="preserve">has been </w:t>
      </w:r>
      <w:r w:rsidR="00E509E2">
        <w:t>specified</w:t>
      </w:r>
      <w:r w:rsidR="0039398D">
        <w:t xml:space="preserve"> for LTE PUCCH SCell </w:t>
      </w:r>
      <w:r w:rsidR="00E509E2">
        <w:t xml:space="preserve">that </w:t>
      </w:r>
      <w:r w:rsidR="0039398D">
        <w:t xml:space="preserve">when </w:t>
      </w:r>
      <w:r w:rsidR="00901F4B">
        <w:t xml:space="preserve">the </w:t>
      </w:r>
      <w:r w:rsidR="0039398D">
        <w:t>PUCCH SCell is deactivated, all the SCells of the secondary PUCCH group should be deactivated as well since the HARQ feedback of those cells cannot be sent anymore.</w:t>
      </w:r>
    </w:p>
    <w:p w14:paraId="67BE2C99" w14:textId="63540E40" w:rsidR="005367E4" w:rsidRPr="005367E4" w:rsidRDefault="005367E4" w:rsidP="005367E4">
      <w:r w:rsidRPr="005367E4">
        <w:rPr>
          <w:b/>
        </w:rPr>
        <w:t>Proposal 2</w:t>
      </w:r>
      <w:r>
        <w:t>: when all the cells of a LCH that</w:t>
      </w:r>
      <w:r w:rsidR="00C86BFF">
        <w:t xml:space="preserve"> it</w:t>
      </w:r>
      <w:r>
        <w:t xml:space="preserve"> can be mapped to are deactivated, duplication of the radio bearer </w:t>
      </w:r>
      <w:r w:rsidR="00C86BFF">
        <w:t xml:space="preserve">is </w:t>
      </w:r>
      <w:r>
        <w:t xml:space="preserve">deactivated. </w:t>
      </w:r>
    </w:p>
    <w:p w14:paraId="6C88F9C6" w14:textId="73CA4CF4" w:rsidR="005367E4" w:rsidRDefault="005367E4" w:rsidP="00CD4C7B">
      <w:r>
        <w:lastRenderedPageBreak/>
        <w:t>If there are still data for retransmission in the</w:t>
      </w:r>
      <w:r w:rsidR="00C86BFF">
        <w:t xml:space="preserve"> RLC</w:t>
      </w:r>
      <w:r>
        <w:t xml:space="preserve"> buffer for that LCH, it should still be transmitted to make sure the window is not stuck at the receiver side as proposed in [2]. The retransmissions could be sent on any carrier </w:t>
      </w:r>
      <w:r w:rsidR="00901F4B">
        <w:t xml:space="preserve">without considering the mapping restriction </w:t>
      </w:r>
      <w:r>
        <w:t xml:space="preserve">following </w:t>
      </w:r>
      <w:r w:rsidR="00901F4B">
        <w:t xml:space="preserve">the </w:t>
      </w:r>
      <w:r>
        <w:t xml:space="preserve">proposal 1 </w:t>
      </w:r>
      <w:r w:rsidR="00682FC1">
        <w:t>as</w:t>
      </w:r>
      <w:r>
        <w:t xml:space="preserve"> the main purpose of sending those </w:t>
      </w:r>
      <w:r w:rsidR="00682FC1">
        <w:t>is</w:t>
      </w:r>
      <w:r>
        <w:t xml:space="preserve"> to sync the peer entity to make sure</w:t>
      </w:r>
      <w:r w:rsidR="00C86BFF">
        <w:t xml:space="preserve"> there is</w:t>
      </w:r>
      <w:r>
        <w:t xml:space="preserve"> no issue when duplication is reactivated later.</w:t>
      </w:r>
    </w:p>
    <w:p w14:paraId="5FF0E443" w14:textId="1A58F54B" w:rsidR="00CD4C7B" w:rsidRPr="006E13D1" w:rsidRDefault="00CD4C7B" w:rsidP="00CD4C7B">
      <w:pPr>
        <w:pStyle w:val="Heading1"/>
      </w:pPr>
      <w:r w:rsidRPr="006E13D1">
        <w:t>3</w:t>
      </w:r>
      <w:r w:rsidRPr="006E13D1">
        <w:tab/>
      </w:r>
      <w:r w:rsidR="005367E4">
        <w:t>Conclusion</w:t>
      </w:r>
    </w:p>
    <w:p w14:paraId="23570FFE" w14:textId="6BA4B294" w:rsidR="00CD4C7B" w:rsidRDefault="005367E4" w:rsidP="00CD4C7B">
      <w:r>
        <w:t>Impact of SCell deactivation on duplication operation is discussed in this contribution with the following proposal proposed</w:t>
      </w:r>
      <w:r w:rsidR="00CD4C7B" w:rsidRPr="006E13D1">
        <w:t>:</w:t>
      </w:r>
    </w:p>
    <w:p w14:paraId="7CDC09A5" w14:textId="77777777" w:rsidR="00C86BFF" w:rsidRDefault="00C86BFF" w:rsidP="00C86BFF">
      <w:r w:rsidRPr="00CB210B">
        <w:rPr>
          <w:b/>
        </w:rPr>
        <w:t>Proposal 1</w:t>
      </w:r>
      <w:r>
        <w:t xml:space="preserve">: when duplication is deactivated, the mapping restriction of the LCH which remains active of a duplicated RB to certain carrier(s) should not be applied anymore. </w:t>
      </w:r>
    </w:p>
    <w:p w14:paraId="5F565B83" w14:textId="77777777" w:rsidR="00C86BFF" w:rsidRPr="005367E4" w:rsidRDefault="00C86BFF" w:rsidP="00C86BFF">
      <w:r w:rsidRPr="005367E4">
        <w:rPr>
          <w:b/>
        </w:rPr>
        <w:t>Proposal 2</w:t>
      </w:r>
      <w:r>
        <w:t xml:space="preserve">: when all the cells of a LCH that it can be mapped to are deactivated, duplication of the radio bearer is deactivated. </w:t>
      </w:r>
    </w:p>
    <w:p w14:paraId="0FDCFAC2" w14:textId="77777777" w:rsidR="00CD4C7B" w:rsidRPr="006E13D1" w:rsidRDefault="00CD4C7B" w:rsidP="00CD4C7B">
      <w:pPr>
        <w:pStyle w:val="Heading1"/>
      </w:pPr>
      <w:r w:rsidRPr="006E13D1">
        <w:t>References</w:t>
      </w:r>
    </w:p>
    <w:bookmarkStart w:id="1" w:name="_Ref75086397"/>
    <w:p w14:paraId="4D4EF2C2" w14:textId="77777777" w:rsidR="00673922" w:rsidRPr="006E13D1" w:rsidRDefault="00673922" w:rsidP="00673922">
      <w:pPr>
        <w:numPr>
          <w:ilvl w:val="0"/>
          <w:numId w:val="4"/>
        </w:numPr>
        <w:overflowPunct w:val="0"/>
        <w:autoSpaceDE w:val="0"/>
        <w:autoSpaceDN w:val="0"/>
        <w:adjustRightInd w:val="0"/>
        <w:textAlignment w:val="baseline"/>
      </w:pPr>
      <w:r>
        <w:fldChar w:fldCharType="begin"/>
      </w:r>
      <w:r>
        <w:instrText xml:space="preserve"> HYPERLINK "http://3gpp.org/ftp/tsg_ran/WG2_RL2/TSGR2_98/Docs/R2-1704030.zip" </w:instrText>
      </w:r>
      <w:r>
        <w:fldChar w:fldCharType="separate"/>
      </w:r>
      <w:r w:rsidRPr="007C614B">
        <w:rPr>
          <w:rStyle w:val="Hyperlink"/>
        </w:rPr>
        <w:t>R2-1704030</w:t>
      </w:r>
      <w:r>
        <w:rPr>
          <w:rStyle w:val="Hyperlink"/>
        </w:rPr>
        <w:fldChar w:fldCharType="end"/>
      </w:r>
      <w:r>
        <w:t xml:space="preserve">, </w:t>
      </w:r>
      <w:r w:rsidRPr="007C614B">
        <w:rPr>
          <w:i/>
        </w:rPr>
        <w:t>RAN2 #98 NR UP minutes</w:t>
      </w:r>
    </w:p>
    <w:bookmarkEnd w:id="1"/>
    <w:p w14:paraId="35F222F4" w14:textId="4AD09725" w:rsidR="00080512" w:rsidRPr="00CD4C7B" w:rsidRDefault="00673922" w:rsidP="00CD4C7B">
      <w:pPr>
        <w:numPr>
          <w:ilvl w:val="0"/>
          <w:numId w:val="4"/>
        </w:numPr>
        <w:overflowPunct w:val="0"/>
        <w:autoSpaceDE w:val="0"/>
        <w:autoSpaceDN w:val="0"/>
        <w:adjustRightInd w:val="0"/>
        <w:textAlignment w:val="baseline"/>
      </w:pPr>
      <w:r w:rsidRPr="00673922">
        <w:t>R2-1706549</w:t>
      </w:r>
      <w:r>
        <w:t xml:space="preserve">, </w:t>
      </w:r>
      <w:r w:rsidR="005367E4" w:rsidRPr="007D53C2">
        <w:rPr>
          <w:i/>
          <w:iCs/>
        </w:rPr>
        <w:t>Duplication impact on RLC</w:t>
      </w:r>
      <w:r>
        <w:t>,</w:t>
      </w:r>
      <w:r w:rsidR="0090466A">
        <w:t xml:space="preserve"> </w:t>
      </w:r>
      <w:r w:rsidR="00C86BFF">
        <w:t>Nokia, Alcatel-Lucent Shanghai Bell</w:t>
      </w:r>
      <w:bookmarkStart w:id="2" w:name="_GoBack"/>
      <w:bookmarkEnd w:id="2"/>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29031D" w14:textId="77777777" w:rsidR="004C692C" w:rsidRDefault="004C692C">
      <w:r>
        <w:separator/>
      </w:r>
    </w:p>
  </w:endnote>
  <w:endnote w:type="continuationSeparator" w:id="0">
    <w:p w14:paraId="4EB29642" w14:textId="77777777" w:rsidR="004C692C" w:rsidRDefault="004C6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754ED" w14:textId="77777777" w:rsidR="004C692C" w:rsidRDefault="004C692C">
      <w:r>
        <w:separator/>
      </w:r>
    </w:p>
  </w:footnote>
  <w:footnote w:type="continuationSeparator" w:id="0">
    <w:p w14:paraId="691018E2" w14:textId="77777777" w:rsidR="004C692C" w:rsidRDefault="004C69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978A0"/>
    <w:rsid w:val="000B7BCF"/>
    <w:rsid w:val="000C522B"/>
    <w:rsid w:val="000D58AB"/>
    <w:rsid w:val="00112F1A"/>
    <w:rsid w:val="00145075"/>
    <w:rsid w:val="001741A0"/>
    <w:rsid w:val="00177C7E"/>
    <w:rsid w:val="00194CD0"/>
    <w:rsid w:val="001A71FB"/>
    <w:rsid w:val="001B49C9"/>
    <w:rsid w:val="001F168B"/>
    <w:rsid w:val="001F7831"/>
    <w:rsid w:val="00204045"/>
    <w:rsid w:val="0022606D"/>
    <w:rsid w:val="002747EC"/>
    <w:rsid w:val="002855BF"/>
    <w:rsid w:val="002E6829"/>
    <w:rsid w:val="002F0D22"/>
    <w:rsid w:val="003172DC"/>
    <w:rsid w:val="00326069"/>
    <w:rsid w:val="0035462D"/>
    <w:rsid w:val="0039398D"/>
    <w:rsid w:val="003B40AD"/>
    <w:rsid w:val="003C4E37"/>
    <w:rsid w:val="003E16BE"/>
    <w:rsid w:val="004006E8"/>
    <w:rsid w:val="00401855"/>
    <w:rsid w:val="00477455"/>
    <w:rsid w:val="004A221D"/>
    <w:rsid w:val="004C692C"/>
    <w:rsid w:val="004D3578"/>
    <w:rsid w:val="004D380D"/>
    <w:rsid w:val="004E213A"/>
    <w:rsid w:val="00503171"/>
    <w:rsid w:val="00506C28"/>
    <w:rsid w:val="00534DA0"/>
    <w:rsid w:val="005367E4"/>
    <w:rsid w:val="00543E6C"/>
    <w:rsid w:val="00565087"/>
    <w:rsid w:val="0056573F"/>
    <w:rsid w:val="005F60D9"/>
    <w:rsid w:val="00611566"/>
    <w:rsid w:val="00646D99"/>
    <w:rsid w:val="00656910"/>
    <w:rsid w:val="00673922"/>
    <w:rsid w:val="00682FC1"/>
    <w:rsid w:val="006C66D8"/>
    <w:rsid w:val="006D1E24"/>
    <w:rsid w:val="006E1417"/>
    <w:rsid w:val="006F6A2C"/>
    <w:rsid w:val="00710201"/>
    <w:rsid w:val="00734A5B"/>
    <w:rsid w:val="00744E76"/>
    <w:rsid w:val="00757D40"/>
    <w:rsid w:val="00781F0F"/>
    <w:rsid w:val="0078727C"/>
    <w:rsid w:val="0079049D"/>
    <w:rsid w:val="007A4840"/>
    <w:rsid w:val="007B18D8"/>
    <w:rsid w:val="007C095F"/>
    <w:rsid w:val="007D53C2"/>
    <w:rsid w:val="008028A4"/>
    <w:rsid w:val="00813245"/>
    <w:rsid w:val="008768CA"/>
    <w:rsid w:val="00877EF9"/>
    <w:rsid w:val="00880559"/>
    <w:rsid w:val="008B5306"/>
    <w:rsid w:val="00901F4B"/>
    <w:rsid w:val="0090271F"/>
    <w:rsid w:val="00902DB9"/>
    <w:rsid w:val="0090466A"/>
    <w:rsid w:val="00936071"/>
    <w:rsid w:val="00940212"/>
    <w:rsid w:val="00942EC2"/>
    <w:rsid w:val="00961B32"/>
    <w:rsid w:val="00970DB3"/>
    <w:rsid w:val="00974BB0"/>
    <w:rsid w:val="009A0AF3"/>
    <w:rsid w:val="009B07CD"/>
    <w:rsid w:val="009C19E9"/>
    <w:rsid w:val="00A10F02"/>
    <w:rsid w:val="00A204CA"/>
    <w:rsid w:val="00A53724"/>
    <w:rsid w:val="00A82346"/>
    <w:rsid w:val="00A9671C"/>
    <w:rsid w:val="00AA1553"/>
    <w:rsid w:val="00B04B27"/>
    <w:rsid w:val="00B15449"/>
    <w:rsid w:val="00B47FD1"/>
    <w:rsid w:val="00B516BB"/>
    <w:rsid w:val="00C12B51"/>
    <w:rsid w:val="00C24650"/>
    <w:rsid w:val="00C33079"/>
    <w:rsid w:val="00C83A13"/>
    <w:rsid w:val="00C86BFF"/>
    <w:rsid w:val="00C9068C"/>
    <w:rsid w:val="00C92967"/>
    <w:rsid w:val="00CA3D0C"/>
    <w:rsid w:val="00CA654B"/>
    <w:rsid w:val="00CB210B"/>
    <w:rsid w:val="00CD4C7B"/>
    <w:rsid w:val="00CF6070"/>
    <w:rsid w:val="00D738D6"/>
    <w:rsid w:val="00D80795"/>
    <w:rsid w:val="00D854BE"/>
    <w:rsid w:val="00D87E00"/>
    <w:rsid w:val="00D9134D"/>
    <w:rsid w:val="00D96D11"/>
    <w:rsid w:val="00DA7A03"/>
    <w:rsid w:val="00DB1818"/>
    <w:rsid w:val="00DC0EA1"/>
    <w:rsid w:val="00DC309B"/>
    <w:rsid w:val="00DC4DA2"/>
    <w:rsid w:val="00E509E2"/>
    <w:rsid w:val="00E62835"/>
    <w:rsid w:val="00E76A4A"/>
    <w:rsid w:val="00E77645"/>
    <w:rsid w:val="00E83697"/>
    <w:rsid w:val="00EA688E"/>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customStyle="1" w:styleId="Doc-text2">
    <w:name w:val="Doc-text2"/>
    <w:basedOn w:val="Normal"/>
    <w:link w:val="Doc-text2Char"/>
    <w:qFormat/>
    <w:rsid w:val="00DC0E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C0EA1"/>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2</Pages>
  <Words>574</Words>
  <Characters>3276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3843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Chunli</cp:lastModifiedBy>
  <cp:revision>3</cp:revision>
  <dcterms:created xsi:type="dcterms:W3CDTF">2017-06-16T08:03:00Z</dcterms:created>
  <dcterms:modified xsi:type="dcterms:W3CDTF">2017-06-16T10:19:00Z</dcterms:modified>
</cp:coreProperties>
</file>